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86B95" w14:textId="6D43D697" w:rsidR="00E41001" w:rsidRDefault="00E41001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  <w:r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 xml:space="preserve">MODULE 12 </w:t>
      </w:r>
      <w:r w:rsidRPr="00E41001"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>BEACONING OF WATERWAYS AND FAIRWAYS</w:t>
      </w:r>
      <w:r w:rsidR="008B305E"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 xml:space="preserve"> CHANNELS</w:t>
      </w:r>
    </w:p>
    <w:p w14:paraId="428CAEBB" w14:textId="77777777" w:rsidR="00E41001" w:rsidRDefault="00E41001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</w:p>
    <w:p w14:paraId="76FA1644" w14:textId="77777777" w:rsidR="00E41001" w:rsidRDefault="00E41001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</w:p>
    <w:p w14:paraId="5EB272D9" w14:textId="2A180810" w:rsidR="00756BCC" w:rsidRDefault="00756BCC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  <w:r w:rsidRPr="00756BCC"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>PART 1‐ COURSE OVERVIEW</w:t>
      </w:r>
    </w:p>
    <w:p w14:paraId="6148CDBE" w14:textId="77777777" w:rsidR="000D1113" w:rsidRPr="00756BCC" w:rsidRDefault="000D1113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</w:p>
    <w:p w14:paraId="7EECC718" w14:textId="1BF5B291" w:rsidR="00756BCC" w:rsidRPr="000D1113" w:rsidRDefault="00756BCC" w:rsidP="000D111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SCOPE</w:t>
      </w:r>
    </w:p>
    <w:p w14:paraId="30071D24" w14:textId="77777777" w:rsidR="000D1113" w:rsidRPr="000D1113" w:rsidRDefault="000D1113" w:rsidP="000D1113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5672684A" w14:textId="1872EA4C" w:rsidR="00756BCC" w:rsidRPr="00756BCC" w:rsidRDefault="00756BCC" w:rsidP="000D111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bookmarkStart w:id="0" w:name="_Hlk114496592"/>
      <w:r w:rsidRPr="00756BCC">
        <w:rPr>
          <w:rFonts w:ascii="Calibri" w:hAnsi="Calibri" w:cs="Calibri"/>
          <w:color w:val="000000"/>
          <w:lang w:val="en-US"/>
        </w:rPr>
        <w:t>This course is intended to provide technicians with the theoretical training necessary to have a basic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understanding of the principles 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fairways.</w:t>
      </w:r>
    </w:p>
    <w:p w14:paraId="6AD8D4D9" w14:textId="4109D215" w:rsidR="000D1113" w:rsidRDefault="00756BCC" w:rsidP="000D111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756BCC">
        <w:rPr>
          <w:rFonts w:ascii="Calibri" w:hAnsi="Calibri" w:cs="Calibri"/>
          <w:color w:val="000000"/>
          <w:lang w:val="en-US"/>
        </w:rPr>
        <w:t xml:space="preserve">This introductory course is intended to be supported by further training modules on theoretical aspects of </w:t>
      </w:r>
      <w:r w:rsidR="000D1113">
        <w:rPr>
          <w:rFonts w:ascii="Calibri" w:hAnsi="Calibri" w:cs="Calibri"/>
          <w:color w:val="000000"/>
          <w:lang w:val="en-US"/>
        </w:rPr>
        <w:t>beaconing design and the AtoN necessaries for that purpose</w:t>
      </w:r>
      <w:r w:rsidRPr="00756BCC">
        <w:rPr>
          <w:rFonts w:ascii="Calibri" w:hAnsi="Calibri" w:cs="Calibri"/>
          <w:color w:val="000000"/>
          <w:lang w:val="en-US"/>
        </w:rPr>
        <w:t xml:space="preserve">. </w:t>
      </w:r>
    </w:p>
    <w:bookmarkEnd w:id="0"/>
    <w:p w14:paraId="30CD4439" w14:textId="77777777" w:rsidR="000D1113" w:rsidRDefault="000D1113" w:rsidP="000D1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334A551D" w14:textId="13DAFC36" w:rsidR="00756BCC" w:rsidRPr="000D1113" w:rsidRDefault="00756BCC" w:rsidP="000D111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OBJECTIVE</w:t>
      </w:r>
    </w:p>
    <w:p w14:paraId="1C08ACD4" w14:textId="77777777" w:rsidR="000D1113" w:rsidRPr="000D1113" w:rsidRDefault="000D1113" w:rsidP="000D1113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0F1AB918" w14:textId="657E18CF" w:rsidR="00756BCC" w:rsidRDefault="00756BCC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756BCC">
        <w:rPr>
          <w:rFonts w:ascii="Calibri" w:hAnsi="Calibri" w:cs="Calibri"/>
          <w:color w:val="000000"/>
          <w:lang w:val="en-US"/>
        </w:rPr>
        <w:t>Upon successful completion of this course, participants will have acquired sufficient knowledge and skill to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understand the principles 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</w:t>
      </w:r>
      <w:r w:rsidR="000D1113" w:rsidRPr="00756BCC">
        <w:rPr>
          <w:rFonts w:ascii="Calibri" w:hAnsi="Calibri" w:cs="Calibri"/>
          <w:color w:val="000000"/>
          <w:lang w:val="en-US"/>
        </w:rPr>
        <w:t xml:space="preserve"> </w:t>
      </w:r>
      <w:r w:rsidR="00436F5F">
        <w:rPr>
          <w:rFonts w:ascii="Calibri" w:hAnsi="Calibri" w:cs="Calibri"/>
          <w:color w:val="000000"/>
          <w:lang w:val="en-US"/>
        </w:rPr>
        <w:t xml:space="preserve">channels </w:t>
      </w:r>
      <w:r w:rsidRPr="00756BCC">
        <w:rPr>
          <w:rFonts w:ascii="Calibri" w:hAnsi="Calibri" w:cs="Calibri"/>
          <w:color w:val="000000"/>
          <w:lang w:val="en-US"/>
        </w:rPr>
        <w:t>and AtoN within their organisations.</w:t>
      </w:r>
    </w:p>
    <w:p w14:paraId="6825B7C6" w14:textId="0A080C17" w:rsidR="000D1113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71C47AB6" w14:textId="77777777" w:rsidR="000D1113" w:rsidRPr="00756BCC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0F3B7F2D" w14:textId="64D35281" w:rsidR="00756BCC" w:rsidRPr="000D1113" w:rsidRDefault="00756BCC" w:rsidP="000D111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COURSE OUTLINE</w:t>
      </w:r>
    </w:p>
    <w:p w14:paraId="33D74734" w14:textId="77777777" w:rsidR="000D1113" w:rsidRPr="000D1113" w:rsidRDefault="000D1113" w:rsidP="000D1113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3D32EF5F" w14:textId="530BE04A" w:rsidR="00756BCC" w:rsidRDefault="00756BCC" w:rsidP="00567F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756BCC">
        <w:rPr>
          <w:rFonts w:ascii="Calibri" w:hAnsi="Calibri" w:cs="Calibri"/>
          <w:color w:val="000000"/>
          <w:lang w:val="en-US"/>
        </w:rPr>
        <w:t>This course is intended to cover the knowledge required for a technician to understand the principles of operation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</w:t>
      </w:r>
      <w:r w:rsidR="00436F5F">
        <w:rPr>
          <w:rFonts w:ascii="Calibri" w:hAnsi="Calibri" w:cs="Calibri"/>
          <w:color w:val="000000"/>
          <w:lang w:val="en-US"/>
        </w:rPr>
        <w:t xml:space="preserve"> channels</w:t>
      </w:r>
      <w:r w:rsidRPr="00756BCC">
        <w:rPr>
          <w:rFonts w:ascii="Calibri" w:hAnsi="Calibri" w:cs="Calibri"/>
          <w:color w:val="000000"/>
          <w:lang w:val="en-US"/>
        </w:rPr>
        <w:t xml:space="preserve">. The complete course comprises </w:t>
      </w:r>
      <w:r w:rsidR="00567F8D">
        <w:rPr>
          <w:rFonts w:ascii="Calibri" w:hAnsi="Calibri" w:cs="Calibri"/>
          <w:color w:val="000000"/>
          <w:lang w:val="en-US"/>
        </w:rPr>
        <w:t>3</w:t>
      </w:r>
      <w:r w:rsidRPr="00756BCC">
        <w:rPr>
          <w:rFonts w:ascii="Calibri" w:hAnsi="Calibri" w:cs="Calibri"/>
          <w:color w:val="000000"/>
          <w:lang w:val="en-US"/>
        </w:rPr>
        <w:t xml:space="preserve"> classroom modules, each of which deals with a specific subject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covering aspects 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</w:t>
      </w:r>
      <w:r w:rsidR="00436F5F">
        <w:rPr>
          <w:rFonts w:ascii="Calibri" w:hAnsi="Calibri" w:cs="Calibri"/>
          <w:color w:val="000000"/>
          <w:lang w:val="en-US"/>
        </w:rPr>
        <w:t xml:space="preserve"> channels</w:t>
      </w:r>
      <w:r w:rsidRPr="00756BCC">
        <w:rPr>
          <w:rFonts w:ascii="Calibri" w:hAnsi="Calibri" w:cs="Calibri"/>
          <w:color w:val="000000"/>
          <w:lang w:val="en-US"/>
        </w:rPr>
        <w:t>. Each module begins by stating its scope and aims, and then provides a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0D1113">
        <w:rPr>
          <w:rFonts w:ascii="Calibri" w:hAnsi="Calibri" w:cs="Calibri"/>
          <w:color w:val="000000"/>
          <w:lang w:val="en-US"/>
        </w:rPr>
        <w:t>teaching syllabus.</w:t>
      </w:r>
    </w:p>
    <w:p w14:paraId="5EA9F5DC" w14:textId="3949D921" w:rsidR="000D1113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611BA984" w14:textId="77777777" w:rsidR="000D1113" w:rsidRPr="000D1113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395980B8" w14:textId="72440C40" w:rsidR="00BB7D3F" w:rsidRPr="000D1113" w:rsidRDefault="00756BCC" w:rsidP="000D1113">
      <w:pPr>
        <w:ind w:left="426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4. TEACHING MODULES</w:t>
      </w:r>
    </w:p>
    <w:p w14:paraId="3796F686" w14:textId="43885DDD" w:rsidR="00756BCC" w:rsidRPr="000D1113" w:rsidRDefault="00756BCC" w:rsidP="00756BCC">
      <w:pPr>
        <w:rPr>
          <w:rFonts w:ascii="Calibri-BoldItalic" w:hAnsi="Calibri-BoldItalic" w:cs="Calibri-BoldItalic"/>
          <w:b/>
          <w:bCs/>
          <w:i/>
          <w:iCs/>
          <w:color w:val="575756"/>
          <w:lang w:val="en-US"/>
        </w:rPr>
      </w:pPr>
      <w:bookmarkStart w:id="1" w:name="_Hlk114496460"/>
      <w:r w:rsidRPr="000D1113">
        <w:rPr>
          <w:rFonts w:ascii="Calibri-BoldItalic" w:hAnsi="Calibri-BoldItalic" w:cs="Calibri-BoldItalic"/>
          <w:b/>
          <w:bCs/>
          <w:i/>
          <w:iCs/>
          <w:color w:val="575756"/>
          <w:lang w:val="en-US"/>
        </w:rPr>
        <w:t>Table 1 Table of Teaching Modules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F4F3E" w:rsidRPr="000D1113" w14:paraId="1B0F707A" w14:textId="77777777" w:rsidTr="001F4F3E">
        <w:tc>
          <w:tcPr>
            <w:tcW w:w="2831" w:type="dxa"/>
          </w:tcPr>
          <w:p w14:paraId="06A9DBF6" w14:textId="769A0C78" w:rsidR="001F4F3E" w:rsidRPr="000D1113" w:rsidRDefault="000D1113" w:rsidP="00756BCC">
            <w:pPr>
              <w:rPr>
                <w:b/>
                <w:bCs/>
                <w:i/>
                <w:iCs/>
                <w:lang w:val="en-US"/>
              </w:rPr>
            </w:pPr>
            <w:bookmarkStart w:id="2" w:name="_Hlk114496508"/>
            <w:bookmarkEnd w:id="1"/>
            <w:r w:rsidRPr="000D1113">
              <w:rPr>
                <w:b/>
                <w:bCs/>
                <w:i/>
                <w:iCs/>
                <w:lang w:val="en-US"/>
              </w:rPr>
              <w:t>Module Title</w:t>
            </w:r>
          </w:p>
        </w:tc>
        <w:tc>
          <w:tcPr>
            <w:tcW w:w="2831" w:type="dxa"/>
          </w:tcPr>
          <w:p w14:paraId="3D682E3B" w14:textId="0961122B" w:rsidR="001F4F3E" w:rsidRPr="000D1113" w:rsidRDefault="000D1113" w:rsidP="00756BCC">
            <w:pPr>
              <w:rPr>
                <w:b/>
                <w:bCs/>
                <w:i/>
                <w:iCs/>
                <w:lang w:val="en-US"/>
              </w:rPr>
            </w:pPr>
            <w:r w:rsidRPr="000D1113">
              <w:rPr>
                <w:b/>
                <w:bCs/>
                <w:i/>
                <w:iCs/>
                <w:lang w:val="en-US"/>
              </w:rPr>
              <w:t>Time in hours</w:t>
            </w:r>
          </w:p>
        </w:tc>
        <w:tc>
          <w:tcPr>
            <w:tcW w:w="2832" w:type="dxa"/>
          </w:tcPr>
          <w:p w14:paraId="60C25A4F" w14:textId="3CCDFAD1" w:rsidR="001F4F3E" w:rsidRPr="000D1113" w:rsidRDefault="000D1113" w:rsidP="00756BCC">
            <w:pPr>
              <w:rPr>
                <w:b/>
                <w:bCs/>
                <w:i/>
                <w:iCs/>
                <w:lang w:val="en-US"/>
              </w:rPr>
            </w:pPr>
            <w:r w:rsidRPr="000D1113">
              <w:rPr>
                <w:b/>
                <w:bCs/>
                <w:i/>
                <w:iCs/>
                <w:lang w:val="en-US"/>
              </w:rPr>
              <w:t>Overview</w:t>
            </w:r>
          </w:p>
        </w:tc>
      </w:tr>
      <w:tr w:rsidR="001F4F3E" w:rsidRPr="008B305E" w14:paraId="3FA5C1FF" w14:textId="77777777" w:rsidTr="001F4F3E">
        <w:tc>
          <w:tcPr>
            <w:tcW w:w="2831" w:type="dxa"/>
          </w:tcPr>
          <w:p w14:paraId="3A5AC1C0" w14:textId="7DD3B98E" w:rsidR="001F4F3E" w:rsidRPr="000D1113" w:rsidRDefault="000D1113" w:rsidP="00756BCC">
            <w:pPr>
              <w:rPr>
                <w:lang w:val="en-US"/>
              </w:rPr>
            </w:pPr>
            <w:r>
              <w:rPr>
                <w:lang w:val="en-US"/>
              </w:rPr>
              <w:t>Introduction</w:t>
            </w:r>
          </w:p>
        </w:tc>
        <w:tc>
          <w:tcPr>
            <w:tcW w:w="2831" w:type="dxa"/>
          </w:tcPr>
          <w:p w14:paraId="46C7BCE3" w14:textId="3E8268C8" w:rsidR="001F4F3E" w:rsidRPr="000D1113" w:rsidRDefault="000D1113" w:rsidP="00756BC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2" w:type="dxa"/>
          </w:tcPr>
          <w:p w14:paraId="77A63E02" w14:textId="36B9D453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Description of the evolution, requirements, design considerations and AtoN systems.</w:t>
            </w:r>
          </w:p>
        </w:tc>
      </w:tr>
      <w:tr w:rsidR="001F4F3E" w:rsidRPr="008B305E" w14:paraId="1CA173D1" w14:textId="77777777" w:rsidTr="001F4F3E">
        <w:tc>
          <w:tcPr>
            <w:tcW w:w="2831" w:type="dxa"/>
          </w:tcPr>
          <w:p w14:paraId="5510236F" w14:textId="6E9E2DE4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AtoN sizing and design</w:t>
            </w:r>
          </w:p>
        </w:tc>
        <w:tc>
          <w:tcPr>
            <w:tcW w:w="2831" w:type="dxa"/>
          </w:tcPr>
          <w:p w14:paraId="672C4452" w14:textId="306A33BD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832" w:type="dxa"/>
          </w:tcPr>
          <w:p w14:paraId="2845E651" w14:textId="12133352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This modules provides an overview and description of the purpose of AtoN .</w:t>
            </w:r>
          </w:p>
        </w:tc>
      </w:tr>
      <w:tr w:rsidR="001F4F3E" w:rsidRPr="008B305E" w14:paraId="4F180ACB" w14:textId="77777777" w:rsidTr="001F4F3E">
        <w:tc>
          <w:tcPr>
            <w:tcW w:w="2831" w:type="dxa"/>
          </w:tcPr>
          <w:p w14:paraId="78E4C9DA" w14:textId="789A92FC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Beaconing design</w:t>
            </w:r>
          </w:p>
        </w:tc>
        <w:tc>
          <w:tcPr>
            <w:tcW w:w="2831" w:type="dxa"/>
          </w:tcPr>
          <w:p w14:paraId="7C20A17C" w14:textId="5D05B59F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2" w:type="dxa"/>
          </w:tcPr>
          <w:p w14:paraId="0AE00477" w14:textId="29AE46B9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This module provide a satisfactory understanding of a beaconing design.</w:t>
            </w:r>
          </w:p>
        </w:tc>
      </w:tr>
      <w:bookmarkEnd w:id="2"/>
    </w:tbl>
    <w:p w14:paraId="6185B5A9" w14:textId="1744F6FC" w:rsidR="001F4F3E" w:rsidRPr="000D1113" w:rsidRDefault="001F4F3E" w:rsidP="00756BCC">
      <w:pPr>
        <w:rPr>
          <w:lang w:val="en-US"/>
        </w:rPr>
      </w:pPr>
    </w:p>
    <w:p w14:paraId="10C87414" w14:textId="265CF967" w:rsidR="001F4F3E" w:rsidRPr="00E41001" w:rsidRDefault="001F4F3E" w:rsidP="00E4100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E41001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SPECIFIC COURSE RELATED TEACHING AIDS</w:t>
      </w:r>
    </w:p>
    <w:p w14:paraId="64442C1B" w14:textId="77777777" w:rsidR="00E41001" w:rsidRPr="00E41001" w:rsidRDefault="00E41001" w:rsidP="00E41001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7519D876" w14:textId="1DCAA7FA" w:rsidR="001F4F3E" w:rsidRPr="001F4F3E" w:rsidRDefault="001F4F3E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F4F3E">
        <w:rPr>
          <w:rFonts w:ascii="Calibri" w:hAnsi="Calibri" w:cs="Calibri"/>
          <w:color w:val="000000"/>
          <w:lang w:val="en-US"/>
        </w:rPr>
        <w:t xml:space="preserve">This course involves classroom instruction with the use of sample equipment, programming units and PCs. </w:t>
      </w:r>
    </w:p>
    <w:p w14:paraId="7B9225B8" w14:textId="77777777" w:rsidR="001F4F3E" w:rsidRPr="001F4F3E" w:rsidRDefault="001F4F3E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F4F3E">
        <w:rPr>
          <w:rFonts w:ascii="Calibri" w:hAnsi="Calibri" w:cs="Calibri"/>
          <w:color w:val="000000"/>
          <w:lang w:val="en-US"/>
        </w:rPr>
        <w:t>Classrooms should be equipped with blackboards, whiteboards, and overhead projectors to enable presentation of</w:t>
      </w:r>
    </w:p>
    <w:p w14:paraId="30BDF19D" w14:textId="2C81FBCF" w:rsidR="001F4F3E" w:rsidRDefault="001F4F3E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F4F3E">
        <w:rPr>
          <w:rFonts w:ascii="Calibri" w:hAnsi="Calibri" w:cs="Calibri"/>
          <w:color w:val="000000"/>
          <w:lang w:val="en-US"/>
        </w:rPr>
        <w:t>the subject matter.</w:t>
      </w:r>
    </w:p>
    <w:p w14:paraId="11A60A4C" w14:textId="77777777" w:rsidR="004A3159" w:rsidRPr="001F4F3E" w:rsidRDefault="004A3159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65E207D8" w14:textId="4835743C" w:rsidR="001F4F3E" w:rsidRPr="00E41001" w:rsidRDefault="00E41001" w:rsidP="00E4100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TABLE OF CONTENTS</w:t>
      </w:r>
    </w:p>
    <w:p w14:paraId="17CD80A8" w14:textId="77777777" w:rsidR="00E41001" w:rsidRPr="00E41001" w:rsidRDefault="00E41001" w:rsidP="00E41001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0CE5B2E4" w14:textId="77777777" w:rsidR="00E41001" w:rsidRPr="00E41001" w:rsidRDefault="00E41001" w:rsidP="00E41001">
      <w:pPr>
        <w:rPr>
          <w:b/>
          <w:bCs/>
          <w:lang w:val="en-US"/>
        </w:rPr>
      </w:pPr>
      <w:bookmarkStart w:id="3" w:name="_Hlk114496445"/>
      <w:r w:rsidRPr="00E41001">
        <w:rPr>
          <w:b/>
          <w:bCs/>
          <w:lang w:val="en-US"/>
        </w:rPr>
        <w:t>MODULE 1 – INTRODUCTION (5h)</w:t>
      </w:r>
    </w:p>
    <w:p w14:paraId="630C8C93" w14:textId="77777777" w:rsidR="00E41001" w:rsidRPr="00E41001" w:rsidRDefault="00E41001" w:rsidP="00E41001">
      <w:pPr>
        <w:pStyle w:val="Prrafodelista"/>
        <w:numPr>
          <w:ilvl w:val="0"/>
          <w:numId w:val="2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Introduction</w:t>
      </w:r>
    </w:p>
    <w:p w14:paraId="7379C2A2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Evolution of the navigation </w:t>
      </w:r>
    </w:p>
    <w:p w14:paraId="212CBBE3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Background</w:t>
      </w:r>
    </w:p>
    <w:p w14:paraId="4C30B0D5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E-navigation</w:t>
      </w:r>
    </w:p>
    <w:p w14:paraId="02FCAC28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User requirements </w:t>
      </w:r>
    </w:p>
    <w:p w14:paraId="326526AA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Generalities</w:t>
      </w:r>
    </w:p>
    <w:p w14:paraId="6D892112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Accuracy</w:t>
      </w:r>
    </w:p>
    <w:p w14:paraId="40C6B42A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Reliability</w:t>
      </w:r>
    </w:p>
    <w:p w14:paraId="21FA7638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Special requirements</w:t>
      </w:r>
    </w:p>
    <w:p w14:paraId="2095F659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User queries</w:t>
      </w:r>
    </w:p>
    <w:p w14:paraId="34186A0F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</w:pPr>
      <w:r w:rsidRPr="00E41001">
        <w:rPr>
          <w:lang w:val="en-US"/>
        </w:rPr>
        <w:t>Design considerations</w:t>
      </w:r>
    </w:p>
    <w:p w14:paraId="27A97DFE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Performance parameters of AtoN systems</w:t>
      </w:r>
    </w:p>
    <w:p w14:paraId="2C534A1F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Positioning accuracy</w:t>
      </w:r>
    </w:p>
    <w:p w14:paraId="124F60BB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Redundancy</w:t>
      </w:r>
    </w:p>
    <w:p w14:paraId="0A3E94C4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Perception</w:t>
      </w:r>
    </w:p>
    <w:p w14:paraId="1DDDEAD6" w14:textId="77777777" w:rsidR="00E41001" w:rsidRPr="00E41001" w:rsidRDefault="00E41001" w:rsidP="00E41001">
      <w:pPr>
        <w:rPr>
          <w:b/>
          <w:bCs/>
          <w:lang w:val="en-US"/>
        </w:rPr>
      </w:pPr>
      <w:r w:rsidRPr="00E41001">
        <w:rPr>
          <w:b/>
          <w:bCs/>
          <w:lang w:val="en-US"/>
        </w:rPr>
        <w:t>MODULE 2  – AIDS TO NAVIGATION SIZING AND DESIGN (15h)</w:t>
      </w:r>
    </w:p>
    <w:p w14:paraId="6586E018" w14:textId="77777777" w:rsidR="00E41001" w:rsidRPr="00E41001" w:rsidRDefault="00E41001" w:rsidP="00E41001">
      <w:pPr>
        <w:pStyle w:val="Prrafodelista"/>
        <w:numPr>
          <w:ilvl w:val="0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Aids to Navigation sizing and design</w:t>
      </w:r>
    </w:p>
    <w:p w14:paraId="024FD615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Luminous systems</w:t>
      </w:r>
    </w:p>
    <w:p w14:paraId="4BD4A38B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Lantern types</w:t>
      </w:r>
    </w:p>
    <w:p w14:paraId="3792E304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Light basics</w:t>
      </w:r>
    </w:p>
    <w:p w14:paraId="191BE0EE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Intensity and range calculation</w:t>
      </w:r>
    </w:p>
    <w:p w14:paraId="5D90C115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Choice of luminous equipment</w:t>
      </w:r>
    </w:p>
    <w:p w14:paraId="154C2C6E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Days Marks</w:t>
      </w:r>
    </w:p>
    <w:p w14:paraId="26513DB9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Types of daymarks</w:t>
      </w:r>
    </w:p>
    <w:p w14:paraId="15B999CF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Characteristics</w:t>
      </w:r>
    </w:p>
    <w:p w14:paraId="0C4E4523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Day Mark sizing</w:t>
      </w:r>
    </w:p>
    <w:p w14:paraId="31BF0644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Electronic systems</w:t>
      </w:r>
    </w:p>
    <w:p w14:paraId="08601B2D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Radar</w:t>
      </w:r>
    </w:p>
    <w:p w14:paraId="69FF30DD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AIS – Automatic Identification System</w:t>
      </w:r>
    </w:p>
    <w:p w14:paraId="7E026BDE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Leading lights</w:t>
      </w:r>
    </w:p>
    <w:p w14:paraId="3DF11ED5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Leading light types</w:t>
      </w:r>
    </w:p>
    <w:p w14:paraId="66389C88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Two-light leading lights</w:t>
      </w:r>
    </w:p>
    <w:p w14:paraId="24D9EE5E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Sector leading lights</w:t>
      </w:r>
    </w:p>
    <w:p w14:paraId="579A4146" w14:textId="77777777" w:rsidR="00E41001" w:rsidRPr="00E41001" w:rsidRDefault="00E41001" w:rsidP="00E41001">
      <w:pPr>
        <w:rPr>
          <w:b/>
          <w:bCs/>
        </w:rPr>
      </w:pPr>
      <w:r w:rsidRPr="00E41001">
        <w:rPr>
          <w:b/>
          <w:bCs/>
        </w:rPr>
        <w:lastRenderedPageBreak/>
        <w:t>MODULE 3 – BEACONING DESIGN (5h)</w:t>
      </w:r>
    </w:p>
    <w:p w14:paraId="53C6EBF3" w14:textId="77777777" w:rsidR="00E41001" w:rsidRPr="00E41001" w:rsidRDefault="00E41001" w:rsidP="00E41001">
      <w:pPr>
        <w:pStyle w:val="Prrafodelista"/>
        <w:numPr>
          <w:ilvl w:val="0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Beaconing Design</w:t>
      </w:r>
    </w:p>
    <w:p w14:paraId="1156BB19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Previous considerations</w:t>
      </w:r>
    </w:p>
    <w:p w14:paraId="47545E30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MBS</w:t>
      </w:r>
    </w:p>
    <w:p w14:paraId="0AAE2272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Beaconing of navigable boundaries</w:t>
      </w:r>
    </w:p>
    <w:p w14:paraId="556C1C12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Basic principles for the design of waterways</w:t>
      </w:r>
    </w:p>
    <w:p w14:paraId="2F7DC245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</w:pPr>
      <w:r w:rsidRPr="00E41001">
        <w:rPr>
          <w:lang w:val="en-US"/>
        </w:rPr>
        <w:t xml:space="preserve"> </w:t>
      </w:r>
      <w:r w:rsidRPr="00E41001">
        <w:t>Others Aids to Navigation</w:t>
      </w:r>
    </w:p>
    <w:p w14:paraId="0692A1D8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Design methodology</w:t>
      </w:r>
    </w:p>
    <w:p w14:paraId="4257879A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Procedure</w:t>
      </w:r>
    </w:p>
    <w:p w14:paraId="32F9F843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Maintenance</w:t>
      </w:r>
    </w:p>
    <w:p w14:paraId="3AB5E999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Risk assessment</w:t>
      </w:r>
    </w:p>
    <w:p w14:paraId="6FCF6274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Simulation</w:t>
      </w:r>
    </w:p>
    <w:p w14:paraId="0200EE1C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Examples</w:t>
      </w:r>
    </w:p>
    <w:p w14:paraId="763794C2" w14:textId="41452C1F" w:rsidR="001F4F3E" w:rsidRPr="006D7AF4" w:rsidRDefault="00E41001" w:rsidP="001F4F3E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Conclusion</w:t>
      </w:r>
      <w:bookmarkEnd w:id="3"/>
    </w:p>
    <w:p w14:paraId="4EE52453" w14:textId="47AF6F73" w:rsidR="006D7AF4" w:rsidRDefault="006D7AF4" w:rsidP="001F4F3E">
      <w:pPr>
        <w:rPr>
          <w:lang w:val="en-US"/>
        </w:rPr>
      </w:pPr>
    </w:p>
    <w:p w14:paraId="0B823FD5" w14:textId="2E8043D8" w:rsidR="006D7AF4" w:rsidRPr="006D7AF4" w:rsidRDefault="006D7AF4" w:rsidP="006D7AF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6D7AF4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REFERENCES</w:t>
      </w:r>
    </w:p>
    <w:p w14:paraId="1ED780CF" w14:textId="77777777" w:rsidR="006D7AF4" w:rsidRDefault="006D7AF4" w:rsidP="006D7AF4">
      <w:pPr>
        <w:pStyle w:val="Reference"/>
        <w:rPr>
          <w:lang w:eastAsia="de-DE"/>
        </w:rPr>
      </w:pPr>
      <w:r w:rsidRPr="0053083D">
        <w:t>1010 Ed2 Racon Range Performance_June 2005</w:t>
      </w:r>
    </w:p>
    <w:p w14:paraId="4C75420A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1018 Ed.3 Risk Management_May2013</w:t>
      </w:r>
    </w:p>
    <w:p w14:paraId="4973665A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1023 Ed1.1 Design of Leading Lines December 2005</w:t>
      </w:r>
    </w:p>
    <w:p w14:paraId="6B2A7A09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1033 Ed.1 Provision of AtoN for Different Classes of Vessels, including HSC_Dec2003</w:t>
      </w:r>
    </w:p>
    <w:p w14:paraId="5798A853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1041 Ed3 on Sector Lights_June 2016</w:t>
      </w:r>
    </w:p>
    <w:p w14:paraId="167E5823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1046 Ed.2 Response Plan for Marking New Wrecks_June 2019</w:t>
      </w:r>
    </w:p>
    <w:p w14:paraId="08080458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1051 Ed.1 Provision &amp; Identification of AtoN in Built-up Areas_Dec2005</w:t>
      </w:r>
    </w:p>
    <w:p w14:paraId="369B5E57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1058 Ed.2 Use of Simulation as a Tool for Waterway Design and AtoN Planning_June 2011</w:t>
      </w:r>
    </w:p>
    <w:p w14:paraId="017EF631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1061 Ed.1 Light Applications Illumination of Structures_Dec2008</w:t>
      </w:r>
    </w:p>
    <w:p w14:paraId="7EB76D52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1079 Ed.1 Establishing and Conducting User Consultancy by Aids to Navigation Authorities_Dec2009</w:t>
      </w:r>
    </w:p>
    <w:p w14:paraId="5DE9D37B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1148 Ed.1 Guideline G1148 on determination of required luminous intensity for marine signal lights</w:t>
      </w:r>
    </w:p>
    <w:p w14:paraId="6E630241" w14:textId="134A88F5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G1078 Ed2.0 The Use of AtoN in the Design of </w:t>
      </w:r>
      <w:r w:rsidR="00436F5F" w:rsidRPr="0053083D">
        <w:rPr>
          <w:lang w:eastAsia="de-DE"/>
        </w:rPr>
        <w:t>Fairways Channels</w:t>
      </w:r>
    </w:p>
    <w:p w14:paraId="675A5905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G1094-Ed2.1-Daymarks-for-Aids-to-Navigation-June-2016</w:t>
      </w:r>
    </w:p>
    <w:p w14:paraId="1015F3C1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G1134 Surface Colours Used as Visual Signals on AtoN Ed2.0</w:t>
      </w:r>
    </w:p>
    <w:p w14:paraId="3534EBE9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G1135 Effective Intensity Ed2.0 December 2020</w:t>
      </w:r>
    </w:p>
    <w:p w14:paraId="4A4B1758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G1163 Ed1.0 The Marking of Breakwaters and Barriers</w:t>
      </w:r>
    </w:p>
    <w:p w14:paraId="3DCB72AC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M1000 Navguide 2018 Ed8 Compressed</w:t>
      </w:r>
    </w:p>
    <w:p w14:paraId="40FAF2F2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R0101 Marine Radar Beacons (Racons) (R-101) Ed2.1 December 2004</w:t>
      </w:r>
    </w:p>
    <w:p w14:paraId="76470C2C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R0108 The Surface Colours used as Visual Signals on Marine Aids to Navigation (E-108) Ed4.1 December 2017</w:t>
      </w:r>
    </w:p>
    <w:p w14:paraId="1EAAE128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lastRenderedPageBreak/>
        <w:t>R0110 Rhythmic Characters of Lights on Aids to Navigation Ed5.0</w:t>
      </w:r>
    </w:p>
    <w:p w14:paraId="1C8C8809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R0111 Port Traffic Signals (E-111) Ed1.3 December 2019</w:t>
      </w:r>
    </w:p>
    <w:p w14:paraId="564B8634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R0112 Leading Lights (E-112) Ed1.2 December 2005</w:t>
      </w:r>
    </w:p>
    <w:p w14:paraId="2A6856ED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R0113 The Marking of Fixed Bridges and other Structures over Navigable Waters (O-113) Ed2.1 December 2011</w:t>
      </w:r>
    </w:p>
    <w:p w14:paraId="7FDB9A5C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R0126 (A-126) The Use of the AIS in Marine Aids to Navigation Services Ed2.0</w:t>
      </w:r>
    </w:p>
    <w:p w14:paraId="26BDBA94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R0130 Categorisation and Availability Objectives for Short Range Aids to Navigation (O-130) Ed3.1 June 2017</w:t>
      </w:r>
    </w:p>
    <w:p w14:paraId="57AB7CAE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R0138 The Use of GIS and Simulation by Aids to Navigation Authorities (O-138) Ed1.1 December 2007</w:t>
      </w:r>
    </w:p>
    <w:p w14:paraId="68DB12E6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R0139 (0-139) The Marking of Man-made Structures Ed3.0</w:t>
      </w:r>
    </w:p>
    <w:p w14:paraId="3770ECC7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R0201 Marine Signal Lights-Colours (E200-1) Ed3.1 December 2018</w:t>
      </w:r>
    </w:p>
    <w:p w14:paraId="0238655D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R0202 Marine Signal Lights-Calculation, Definition and Notation of Luminous Range (E200-2) Ed2.1 December 2017</w:t>
      </w:r>
    </w:p>
    <w:p w14:paraId="489556CF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R0203 Marine Signal Lights Part 3 - Measurement (E-200-3) Ed1.1 December 2008</w:t>
      </w:r>
    </w:p>
    <w:p w14:paraId="24301B9E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R0204 Marine Signal Lights-Determination and Calculation of Effective Intensity (E-200-4) Ed2.1 December 2017</w:t>
      </w:r>
    </w:p>
    <w:p w14:paraId="64A053C3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R0205 Marine Signal Lights Part 5 - Estimation of the Performance of Optical Apparatus (E-200-5) Ed1.1 December 2008</w:t>
      </w:r>
    </w:p>
    <w:p w14:paraId="75BA5819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S1010 AtoN Planning &amp; Service Requirements Ed1</w:t>
      </w:r>
    </w:p>
    <w:p w14:paraId="30536CD0" w14:textId="77777777" w:rsidR="006D7AF4" w:rsidRPr="006D7AF4" w:rsidRDefault="006D7AF4" w:rsidP="001F4F3E">
      <w:pPr>
        <w:rPr>
          <w:lang w:val="en-GB"/>
        </w:rPr>
      </w:pPr>
    </w:p>
    <w:sectPr w:rsidR="006D7AF4" w:rsidRPr="006D7A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7CE5"/>
    <w:multiLevelType w:val="hybridMultilevel"/>
    <w:tmpl w:val="B0B0E738"/>
    <w:lvl w:ilvl="0" w:tplc="0C0A000F">
      <w:numFmt w:val="decimal"/>
      <w:lvlText w:val="%1."/>
      <w:lvlJc w:val="left"/>
      <w:pPr>
        <w:ind w:left="360" w:hanging="360"/>
      </w:pPr>
    </w:lvl>
    <w:lvl w:ilvl="1" w:tplc="0C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173FC"/>
    <w:multiLevelType w:val="multilevel"/>
    <w:tmpl w:val="B3B0E6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36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CF3957"/>
    <w:multiLevelType w:val="hybridMultilevel"/>
    <w:tmpl w:val="6B8C6868"/>
    <w:lvl w:ilvl="0" w:tplc="0BB45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4D84"/>
    <w:multiLevelType w:val="multilevel"/>
    <w:tmpl w:val="FFDC463E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31992895">
    <w:abstractNumId w:val="4"/>
  </w:num>
  <w:num w:numId="2" w16cid:durableId="896359497">
    <w:abstractNumId w:val="0"/>
  </w:num>
  <w:num w:numId="3" w16cid:durableId="694576001">
    <w:abstractNumId w:val="3"/>
  </w:num>
  <w:num w:numId="4" w16cid:durableId="707798006">
    <w:abstractNumId w:val="1"/>
  </w:num>
  <w:num w:numId="5" w16cid:durableId="897861213">
    <w:abstractNumId w:val="2"/>
  </w:num>
  <w:num w:numId="6" w16cid:durableId="538518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CC"/>
    <w:rsid w:val="000D1113"/>
    <w:rsid w:val="001F4F3E"/>
    <w:rsid w:val="00436F5F"/>
    <w:rsid w:val="004A3159"/>
    <w:rsid w:val="00567F8D"/>
    <w:rsid w:val="005A0E84"/>
    <w:rsid w:val="006D7AF4"/>
    <w:rsid w:val="00713A42"/>
    <w:rsid w:val="00756BCC"/>
    <w:rsid w:val="008B305E"/>
    <w:rsid w:val="00BB7D3F"/>
    <w:rsid w:val="00E4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C425"/>
  <w15:chartTrackingRefBased/>
  <w15:docId w15:val="{2BD0A64F-B436-4321-9EF3-A97B61EE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Textoindependiente"/>
    <w:link w:val="Ttulo1Car"/>
    <w:qFormat/>
    <w:rsid w:val="006D7AF4"/>
    <w:pPr>
      <w:keepNext/>
      <w:keepLines/>
      <w:numPr>
        <w:numId w:val="6"/>
      </w:numPr>
      <w:spacing w:before="240" w:after="200" w:line="240" w:lineRule="atLeast"/>
      <w:outlineLvl w:val="0"/>
    </w:pPr>
    <w:rPr>
      <w:rFonts w:ascii="Calibri" w:eastAsiaTheme="majorEastAsia" w:hAnsi="Calibri" w:cstheme="majorBidi"/>
      <w:b/>
      <w:bCs/>
      <w:caps/>
      <w:color w:val="00558C"/>
      <w:sz w:val="28"/>
      <w:szCs w:val="24"/>
      <w:lang w:val="en-GB"/>
    </w:rPr>
  </w:style>
  <w:style w:type="paragraph" w:styleId="Ttulo2">
    <w:name w:val="heading 2"/>
    <w:basedOn w:val="Ttulo1"/>
    <w:next w:val="Textoindependiente"/>
    <w:link w:val="Ttulo2Car"/>
    <w:qFormat/>
    <w:rsid w:val="006D7AF4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Ttulo3">
    <w:name w:val="heading 3"/>
    <w:basedOn w:val="Ttulo2"/>
    <w:next w:val="Textoindependiente"/>
    <w:link w:val="Ttulo3Car"/>
    <w:qFormat/>
    <w:rsid w:val="006D7AF4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Ttulo4">
    <w:name w:val="heading 4"/>
    <w:basedOn w:val="Ttulo3"/>
    <w:next w:val="Textoindependiente"/>
    <w:link w:val="Ttulo4Car"/>
    <w:qFormat/>
    <w:rsid w:val="006D7AF4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Ttulo5">
    <w:name w:val="heading 5"/>
    <w:basedOn w:val="Ttulo4"/>
    <w:next w:val="Normal"/>
    <w:link w:val="Ttulo5Car"/>
    <w:qFormat/>
    <w:rsid w:val="006D7AF4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D111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6D7AF4"/>
    <w:rPr>
      <w:rFonts w:ascii="Calibri" w:eastAsiaTheme="majorEastAsia" w:hAnsi="Calibri" w:cstheme="majorBidi"/>
      <w:b/>
      <w:bCs/>
      <w:caps/>
      <w:color w:val="00558C"/>
      <w:sz w:val="28"/>
      <w:szCs w:val="24"/>
      <w:lang w:val="en-GB"/>
    </w:rPr>
  </w:style>
  <w:style w:type="character" w:customStyle="1" w:styleId="Ttulo2Car">
    <w:name w:val="Título 2 Car"/>
    <w:basedOn w:val="Fuentedeprrafopredeter"/>
    <w:link w:val="Ttulo2"/>
    <w:rsid w:val="006D7AF4"/>
    <w:rPr>
      <w:rFonts w:ascii="Calibri" w:eastAsiaTheme="majorEastAsia" w:hAnsi="Calibri" w:cstheme="majorBidi"/>
      <w:b/>
      <w:caps/>
      <w:color w:val="00558C"/>
      <w:sz w:val="24"/>
      <w:szCs w:val="24"/>
      <w:lang w:val="en-GB"/>
    </w:rPr>
  </w:style>
  <w:style w:type="character" w:customStyle="1" w:styleId="Ttulo3Car">
    <w:name w:val="Título 3 Car"/>
    <w:basedOn w:val="Fuentedeprrafopredeter"/>
    <w:link w:val="Ttulo3"/>
    <w:rsid w:val="006D7AF4"/>
    <w:rPr>
      <w:rFonts w:ascii="Calibri" w:eastAsiaTheme="majorEastAsia" w:hAnsi="Calibri" w:cstheme="majorBidi"/>
      <w:b/>
      <w:bCs/>
      <w:smallCaps/>
      <w:color w:val="00558C"/>
      <w:sz w:val="24"/>
      <w:szCs w:val="24"/>
      <w:lang w:val="en-GB"/>
    </w:rPr>
  </w:style>
  <w:style w:type="character" w:customStyle="1" w:styleId="Ttulo4Car">
    <w:name w:val="Título 4 Car"/>
    <w:basedOn w:val="Fuentedeprrafopredeter"/>
    <w:link w:val="Ttulo4"/>
    <w:rsid w:val="006D7AF4"/>
    <w:rPr>
      <w:rFonts w:ascii="Calibri" w:eastAsiaTheme="majorEastAsia" w:hAnsi="Calibri" w:cstheme="majorBidi"/>
      <w:b/>
      <w:iCs/>
      <w:color w:val="00558C"/>
      <w:szCs w:val="24"/>
      <w:lang w:val="en-GB"/>
    </w:rPr>
  </w:style>
  <w:style w:type="character" w:customStyle="1" w:styleId="Ttulo5Car">
    <w:name w:val="Título 5 Car"/>
    <w:basedOn w:val="Fuentedeprrafopredeter"/>
    <w:link w:val="Ttulo5"/>
    <w:rsid w:val="006D7AF4"/>
    <w:rPr>
      <w:rFonts w:ascii="Calibri" w:eastAsiaTheme="majorEastAsia" w:hAnsi="Calibri" w:cstheme="majorBidi"/>
      <w:iCs/>
      <w:color w:val="00558C"/>
      <w:szCs w:val="24"/>
      <w:lang w:val="en-GB"/>
    </w:rPr>
  </w:style>
  <w:style w:type="paragraph" w:customStyle="1" w:styleId="Reference">
    <w:name w:val="Reference"/>
    <w:basedOn w:val="Normal"/>
    <w:qFormat/>
    <w:rsid w:val="006D7AF4"/>
    <w:pPr>
      <w:numPr>
        <w:numId w:val="5"/>
      </w:numPr>
      <w:spacing w:before="120" w:after="60" w:line="240" w:lineRule="auto"/>
      <w:jc w:val="both"/>
    </w:pPr>
    <w:rPr>
      <w:rFonts w:eastAsia="Times New Roman" w:cs="Times New Roman"/>
      <w:szCs w:val="20"/>
      <w:lang w:val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D7AF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D7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F9B672-2110-49C6-982C-E011BCF44563}"/>
</file>

<file path=customXml/itemProps2.xml><?xml version="1.0" encoding="utf-8"?>
<ds:datastoreItem xmlns:ds="http://schemas.openxmlformats.org/officeDocument/2006/customXml" ds:itemID="{45D51C8D-8907-4831-B43E-D990C36516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790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Herrero</dc:creator>
  <cp:keywords/>
  <dc:description/>
  <cp:lastModifiedBy>Monica Herrero</cp:lastModifiedBy>
  <cp:revision>7</cp:revision>
  <dcterms:created xsi:type="dcterms:W3CDTF">2022-09-13T12:34:00Z</dcterms:created>
  <dcterms:modified xsi:type="dcterms:W3CDTF">2022-09-19T14:56:00Z</dcterms:modified>
</cp:coreProperties>
</file>